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Психологическая профилактика в детском саду и школе</w:t>
            </w:r>
          </w:p>
          <w:p>
            <w:pPr>
              <w:jc w:val="center"/>
              <w:spacing w:after="0" w:line="240" w:lineRule="auto"/>
              <w:rPr>
                <w:sz w:val="32"/>
                <w:szCs w:val="32"/>
              </w:rPr>
            </w:pPr>
            <w:r>
              <w:rPr>
                <w:rFonts w:ascii="Times New Roman" w:hAnsi="Times New Roman" w:cs="Times New Roman"/>
                <w:color w:val="#000000"/>
                <w:sz w:val="32"/>
                <w:szCs w:val="32"/>
              </w:rPr>
              <w:t> Б1.В.03.02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/О.А. Таротенко/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«Психологическая профилактика в детском саду и школе»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Б1.В.03.02 «Психологическая профилактика в детском саду и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«Психологическая профилактика в детском саду и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реализовывать профилактические мероприятия по сохранению и укреплению психологического здоровья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4.1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4.2 знать технологии и способы формирования и поддержания благоприятного социально-психологического климата в коллективе, причины возникновения и методы предупреждения и снятия психологической перегрузки педагогического коллектива</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4.4 уметь планировать и организовывать работу по предупреждению возможного неблагополучия в психическом и личностном развитии обучающихся, особенно социально уязвимых и попавших в трудные жизненные ситуации; разрабатывать рекомендации педагогам, родителям (законным представителям), воспитателям и другим работникам по оказанию помощи обучающимся в адаптационный, предкризисный и кризисный периоды</w:t>
            </w:r>
          </w:p>
        </w:tc>
      </w:tr>
      <w:tr>
        <w:trPr>
          <w:trHeight w:hRule="exact" w:val="483.92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4.5 уметь проводить мероприятия по формированию у обучающихся навыков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общения в разновозрастной среде и среде сверстников, развитию навыков поведения в виртуальной и поликультурной среде</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4.6 владеть приемами и средствами психологического сопровождения субъектов образовательного процесса по оказанию им различного вида психологической помощи по сохранению и укреплению психологического здоровья</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3.1 знать социально-психологические процессы развития группы</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3.2 знать основные условия эффективной командной работы для достижения поставленной цели, правила командной работы, эффективность использования стратегии сотрудничества для достижения поставленной цели</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3.3 уметь понимать особенности поведения выделенных групп людей, с которыми работает/взаимодействует, учитывать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3.4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Б1.В.03.02 «Психологическая профилактика в детском саду и школе» относится к обязательной части, является дисциплиной Блока Б1. «Дисциплины (модули)». Модуль "Современные технологии психолого-педагогического сопровождения детей с проблемами в развитии"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Педагогическая психология</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p>
            <w:pPr>
              <w:jc w:val="center"/>
              <w:spacing w:after="0" w:line="240" w:lineRule="auto"/>
              <w:rPr>
                <w:sz w:val="22"/>
                <w:szCs w:val="22"/>
              </w:rPr>
            </w:pPr>
            <w:r>
              <w:rPr>
                <w:rFonts w:ascii="Times New Roman" w:hAnsi="Times New Roman" w:cs="Times New Roman"/>
                <w:color w:val="#000000"/>
                <w:sz w:val="22"/>
                <w:szCs w:val="22"/>
              </w:rPr>
              <w:t> Нормативно-правовые и этические основы профессиональной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индивидуальных образовательных маршрутов детей с ОВЗ</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интерна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ПК-1, УК-3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Психопрофилактика как направление деятельности практического психолога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психопрофилактики практического психолога образования на разных этапах 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построения развивающих программ для детей разных возрастов.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Психопрофилактика в работе с педагогическим коллективом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Психопрофилактика как направление деятельности практического психолога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психопрофилактики практического психолога образования на разных этапах 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построения развивающих программ для детей разных возрастов.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Психопрофилактика в работе с педагогическим коллективом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255.79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Психопрофилактика как направление деятельности практического психолога образования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8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психопрофилактики. Цели и задачи психопрофилактики. Уровни психопрофилактики: первичная, вторичная, третичная профилактика. Принцип единства диагностики и развития (коррекции). Основные методы, средства и формы психопрофилактики. Содержание развивающей деятельности психолога в свете понятий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 педагогическое сопровождение» и «психолого- педагогический статус школьников».</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психопрофилактики практического психолога образования на разных этапах онтогенеза.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возраста и содержание психопрофилактической работы практического психолога образования на разных этапах онтогенеза. Психологическая профилактика школьной дезадаптации. Психологическая профилактика школьной тревожности. Психологическая профилактика школьной неуспеваемости. Психологическая профилактика эмоциональных нарушений. Психологическая профилактика девиантного поведения. Организация и содержание психопрофилактической работы педагога- психолога в ДОУ. Организация и содержание психопрофилактической работы педагога- психолога в общеобразовательной школе. Организация и содержание психопрофилактической работы педагога- психолога в учреждениях интернатного типа. Организация и содержание психопрофилактической работы педагога-психолога в негосударственных образовательных учреждениях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построения развивающих программ для детей разных возрастов.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психопрофилактической работы. Требования к развивающим программам. Структура развивающей программы.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Психопрофилактика в работе с педагогическим коллективом образовательного учреждения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синдрома эмоционального выгорания. Причины, факторы риска и особенности проявления синдрома эмоционального выгорания у педагогов. Психологическая профилактика синдрома эмоционального выгорания у педагогов.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Психопрофилактика как направление деятельности практического психолога образования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психопрофилактики. Цели и задачи психопрофилактики. Уровни психопрофилактики: первичная, вторичная, третичная профилактика. Принцип единства диагностики и развития (коррекции). Основные методы, средства и формы психопрофилактики. Содержание развивающей деятельности психолога в свете понятий «психолого- педагогическое сопровождение» и «психолого- педагогический статус школьников».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психопрофилактики практического психолога образования на разных этапах онтогенеза.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задачи возраста и содержание психопрофилактической работы практического психолога образования на разных этапах онтогенеза. Психологическая профилактика школьной дезадаптации. Психологическая профилактика школьной тревожности. Психологическая профилактика школьной неуспеваемости. Психологическая профилактика эмоциональных нарушений. Психологическая профилактика девиантного поведения. Организация и содержание психопрофилактической работы педагога- психолога в ДОУ. Организация и содержание психопрофилактической работы педагога- психолога в общеобразовательной школе. Организация и содержание психопрофилактической работы педагога- психолога в учреждениях интернатного типа. Организация и содержание психопрофилактической работы педагога-психолога в негосударственных образовательных учреждениях</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построения развивающих программ для детей разных возрастов.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психопрофилактической работы. Требования к развивающим программам. Структура развивающей программы.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Психопрофилактика в работе с педагогическим коллективом образовательного учреждения</w:t>
            </w:r>
          </w:p>
        </w:tc>
      </w:tr>
      <w:tr>
        <w:trPr>
          <w:trHeight w:hRule="exact" w:val="21.31518"/>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синдрома эмоционального выгорания. Причины, факторы риска и особенности проявления синдрома эмоционального выгорания у педагогов. Психологическая профилактика синдрома эмоционального выгорания у педагогов.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«Психологическая профилактика в детском саду и школе» / О.А. Таротенко.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http://www.iprbookshop.ru/76803.html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дошкольном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школьном</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дошкольном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школьном</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http://www.iprbookshop.ru/76804.html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Батюта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978-5-98704-606-7.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http://www.iprbookshop.ru/66411.html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детства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Коломинский</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Стрелкова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детства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978-985-06-1953-2.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http://www.iprbookshop.ru/35532.html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фактор</w:t>
            </w:r>
            <w:r>
              <w:rPr/>
              <w:t xml:space="preserve"> </w:t>
            </w:r>
            <w:r>
              <w:rPr>
                <w:rFonts w:ascii="Times New Roman" w:hAnsi="Times New Roman" w:cs="Times New Roman"/>
                <w:color w:val="#000000"/>
                <w:sz w:val="24"/>
                <w:szCs w:val="24"/>
              </w:rPr>
              <w:t>социализации.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Ершова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Овсянникова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Шевцова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Акутина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Спутник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Центр</w:t>
            </w:r>
            <w:r>
              <w:rPr/>
              <w:t xml:space="preserve"> </w:t>
            </w:r>
            <w:r>
              <w:rPr>
                <w:rFonts w:ascii="Times New Roman" w:hAnsi="Times New Roman" w:cs="Times New Roman"/>
                <w:color w:val="#000000"/>
                <w:sz w:val="24"/>
                <w:szCs w:val="24"/>
              </w:rPr>
              <w:t>научной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http://www.iprbookshop.ru/8994.html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24.75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(ППСиИО)(23)_plx_Психологическая профилактика в детском саду и школе</dc:title>
  <dc:creator>FastReport.NET</dc:creator>
</cp:coreProperties>
</file>